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0" w:type="dxa"/>
        <w:jc w:val="center"/>
        <w:tblCellSpacing w:w="15" w:type="dxa"/>
        <w:tblLook w:val="04A0"/>
      </w:tblPr>
      <w:tblGrid>
        <w:gridCol w:w="8970"/>
      </w:tblGrid>
      <w:tr w:rsidR="004D3E47" w:rsidTr="004D3E47">
        <w:trPr>
          <w:tblCellSpacing w:w="15" w:type="dxa"/>
          <w:jc w:val="center"/>
        </w:trPr>
        <w:tc>
          <w:tcPr>
            <w:tcW w:w="0" w:type="auto"/>
            <w:tcMar>
              <w:top w:w="15" w:type="dxa"/>
              <w:left w:w="15" w:type="dxa"/>
              <w:bottom w:w="15" w:type="dxa"/>
              <w:right w:w="15" w:type="dxa"/>
            </w:tcMar>
            <w:vAlign w:val="center"/>
            <w:hideMark/>
          </w:tcPr>
          <w:tbl>
            <w:tblPr>
              <w:tblW w:w="8880" w:type="dxa"/>
              <w:tblCellSpacing w:w="15" w:type="dxa"/>
              <w:shd w:val="clear" w:color="auto" w:fill="F18602"/>
              <w:tblCellMar>
                <w:top w:w="120" w:type="dxa"/>
                <w:left w:w="120" w:type="dxa"/>
                <w:bottom w:w="120" w:type="dxa"/>
                <w:right w:w="120" w:type="dxa"/>
              </w:tblCellMar>
              <w:tblLook w:val="04A0"/>
            </w:tblPr>
            <w:tblGrid>
              <w:gridCol w:w="8880"/>
            </w:tblGrid>
            <w:tr w:rsidR="004D3E47">
              <w:trPr>
                <w:tblCellSpacing w:w="15" w:type="dxa"/>
              </w:trPr>
              <w:tc>
                <w:tcPr>
                  <w:tcW w:w="0" w:type="auto"/>
                  <w:shd w:val="clear" w:color="auto" w:fill="F18602"/>
                  <w:vAlign w:val="center"/>
                  <w:hideMark/>
                </w:tcPr>
                <w:p w:rsidR="004D3E47" w:rsidRDefault="004D3E47">
                  <w:pPr>
                    <w:spacing w:before="100" w:beforeAutospacing="1" w:after="100" w:afterAutospacing="1"/>
                    <w:jc w:val="center"/>
                    <w:rPr>
                      <w:rFonts w:ascii="Arial" w:eastAsia="Times New Roman" w:hAnsi="Arial" w:cs="Arial"/>
                      <w:color w:val="FFFFFF"/>
                      <w:sz w:val="18"/>
                      <w:szCs w:val="18"/>
                    </w:rPr>
                  </w:pPr>
                  <w:r>
                    <w:rPr>
                      <w:rStyle w:val="forward-to"/>
                      <w:rFonts w:ascii="Arial" w:eastAsia="Times New Roman" w:hAnsi="Arial" w:cs="Arial"/>
                      <w:color w:val="FFFFFF"/>
                      <w:sz w:val="18"/>
                      <w:szCs w:val="18"/>
                    </w:rPr>
                    <w:t xml:space="preserve">You can also </w:t>
                  </w:r>
                  <w:hyperlink r:id="rId4" w:history="1">
                    <w:r>
                      <w:rPr>
                        <w:rStyle w:val="Hyperlink"/>
                        <w:rFonts w:ascii="Arial" w:eastAsia="Times New Roman" w:hAnsi="Arial" w:cs="Arial"/>
                        <w:color w:val="FFFFFF"/>
                        <w:sz w:val="18"/>
                        <w:szCs w:val="18"/>
                      </w:rPr>
                      <w:t>forward to a friend</w:t>
                    </w:r>
                  </w:hyperlink>
                  <w:r>
                    <w:rPr>
                      <w:rStyle w:val="forward-to"/>
                      <w:rFonts w:ascii="Arial" w:eastAsia="Times New Roman" w:hAnsi="Arial" w:cs="Arial"/>
                      <w:color w:val="FFFFFF"/>
                      <w:sz w:val="18"/>
                      <w:szCs w:val="18"/>
                    </w:rPr>
                    <w:t>.</w:t>
                  </w:r>
                  <w:r>
                    <w:rPr>
                      <w:rFonts w:ascii="Arial" w:eastAsia="Times New Roman" w:hAnsi="Arial" w:cs="Arial"/>
                      <w:color w:val="FFFFFF"/>
                      <w:sz w:val="18"/>
                      <w:szCs w:val="18"/>
                    </w:rPr>
                    <w:t xml:space="preserve"> </w:t>
                  </w:r>
                </w:p>
              </w:tc>
            </w:tr>
          </w:tbl>
          <w:p w:rsidR="004D3E47" w:rsidRDefault="004D3E47">
            <w:pPr>
              <w:rPr>
                <w:rFonts w:asciiTheme="minorHAnsi" w:hAnsiTheme="minorHAnsi" w:cstheme="minorBidi"/>
                <w:sz w:val="22"/>
                <w:szCs w:val="22"/>
              </w:rPr>
            </w:pPr>
          </w:p>
        </w:tc>
      </w:tr>
    </w:tbl>
    <w:p w:rsidR="004D3E47" w:rsidRDefault="004D3E47" w:rsidP="004D3E47">
      <w:pPr>
        <w:shd w:val="clear" w:color="auto" w:fill="FFFFFF"/>
        <w:rPr>
          <w:rFonts w:eastAsia="Times New Roman"/>
          <w:vanish/>
        </w:rPr>
      </w:pPr>
    </w:p>
    <w:tbl>
      <w:tblPr>
        <w:tblW w:w="8850" w:type="dxa"/>
        <w:jc w:val="center"/>
        <w:tblBorders>
          <w:top w:val="single" w:sz="6" w:space="0" w:color="F18602"/>
          <w:left w:val="single" w:sz="6" w:space="0" w:color="F18602"/>
          <w:bottom w:val="single" w:sz="6" w:space="0" w:color="F18602"/>
          <w:right w:val="single" w:sz="6" w:space="0" w:color="F18602"/>
        </w:tblBorders>
        <w:shd w:val="clear" w:color="auto" w:fill="FFFFFF"/>
        <w:tblCellMar>
          <w:left w:w="0" w:type="dxa"/>
          <w:right w:w="0" w:type="dxa"/>
        </w:tblCellMar>
        <w:tblLook w:val="04A0"/>
      </w:tblPr>
      <w:tblGrid>
        <w:gridCol w:w="8901"/>
      </w:tblGrid>
      <w:tr w:rsidR="004D3E47" w:rsidTr="004D3E47">
        <w:trPr>
          <w:jc w:val="center"/>
        </w:trPr>
        <w:tc>
          <w:tcPr>
            <w:tcW w:w="0" w:type="auto"/>
            <w:tcBorders>
              <w:top w:val="single" w:sz="6" w:space="0" w:color="F18602"/>
              <w:left w:val="single" w:sz="6" w:space="0" w:color="F18602"/>
              <w:bottom w:val="single" w:sz="6" w:space="0" w:color="F18602"/>
              <w:right w:val="single" w:sz="6" w:space="0" w:color="F18602"/>
            </w:tcBorders>
            <w:shd w:val="clear" w:color="auto" w:fill="FFFFFF"/>
            <w:vAlign w:val="center"/>
          </w:tcPr>
          <w:tbl>
            <w:tblPr>
              <w:tblW w:w="8850" w:type="dxa"/>
              <w:jc w:val="center"/>
              <w:tblCellMar>
                <w:left w:w="0" w:type="dxa"/>
                <w:right w:w="0" w:type="dxa"/>
              </w:tblCellMar>
              <w:tblLook w:val="04A0"/>
            </w:tblPr>
            <w:tblGrid>
              <w:gridCol w:w="8886"/>
            </w:tblGrid>
            <w:tr w:rsidR="004D3E47">
              <w:trPr>
                <w:jc w:val="center"/>
              </w:trPr>
              <w:tc>
                <w:tcPr>
                  <w:tcW w:w="0" w:type="auto"/>
                  <w:vAlign w:val="center"/>
                  <w:hideMark/>
                </w:tcPr>
                <w:p w:rsidR="004D3E47" w:rsidRDefault="004D3E47">
                  <w:pPr>
                    <w:rPr>
                      <w:rFonts w:ascii="Helvetica" w:eastAsia="Times New Roman" w:hAnsi="Helvetica" w:cs="Helvetica"/>
                    </w:rPr>
                  </w:pPr>
                  <w:r>
                    <w:rPr>
                      <w:rFonts w:ascii="Helvetica" w:eastAsia="Times New Roman" w:hAnsi="Helvetica" w:cs="Helvetica"/>
                      <w:noProof/>
                      <w:color w:val="597BB7"/>
                    </w:rPr>
                    <w:drawing>
                      <wp:inline distT="0" distB="0" distL="0" distR="0">
                        <wp:extent cx="5623560" cy="1905000"/>
                        <wp:effectExtent l="19050" t="0" r="0" b="0"/>
                        <wp:docPr id="1" name="Picture 1" descr="camphk_edm_share_mast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k_edm_share_master"/>
                                <pic:cNvPicPr>
                                  <a:picLocks noChangeAspect="1" noChangeArrowheads="1"/>
                                </pic:cNvPicPr>
                              </pic:nvPicPr>
                              <pic:blipFill>
                                <a:blip r:embed="rId6" cstate="print"/>
                                <a:srcRect/>
                                <a:stretch>
                                  <a:fillRect/>
                                </a:stretch>
                              </pic:blipFill>
                              <pic:spPr bwMode="auto">
                                <a:xfrm>
                                  <a:off x="0" y="0"/>
                                  <a:ext cx="5623560" cy="1905000"/>
                                </a:xfrm>
                                <a:prstGeom prst="rect">
                                  <a:avLst/>
                                </a:prstGeom>
                                <a:noFill/>
                                <a:ln w="9525">
                                  <a:noFill/>
                                  <a:miter lim="800000"/>
                                  <a:headEnd/>
                                  <a:tailEnd/>
                                </a:ln>
                              </pic:spPr>
                            </pic:pic>
                          </a:graphicData>
                        </a:graphic>
                      </wp:inline>
                    </w:drawing>
                  </w:r>
                </w:p>
              </w:tc>
            </w:tr>
          </w:tbl>
          <w:p w:rsidR="004D3E47" w:rsidRDefault="004D3E47">
            <w:pPr>
              <w:rPr>
                <w:rFonts w:eastAsia="Times New Roman"/>
                <w:vanish/>
              </w:rPr>
            </w:pPr>
          </w:p>
          <w:tbl>
            <w:tblPr>
              <w:tblW w:w="8850" w:type="dxa"/>
              <w:jc w:val="center"/>
              <w:tblCellMar>
                <w:left w:w="0" w:type="dxa"/>
                <w:right w:w="0" w:type="dxa"/>
              </w:tblCellMar>
              <w:tblLook w:val="04A0"/>
            </w:tblPr>
            <w:tblGrid>
              <w:gridCol w:w="8850"/>
            </w:tblGrid>
            <w:tr w:rsidR="004D3E47">
              <w:trPr>
                <w:jc w:val="center"/>
              </w:trPr>
              <w:tc>
                <w:tcPr>
                  <w:tcW w:w="8490" w:type="dxa"/>
                  <w:tcMar>
                    <w:top w:w="120" w:type="dxa"/>
                    <w:left w:w="270" w:type="dxa"/>
                    <w:bottom w:w="120" w:type="dxa"/>
                    <w:right w:w="270" w:type="dxa"/>
                  </w:tcMar>
                </w:tcPr>
                <w:tbl>
                  <w:tblPr>
                    <w:tblW w:w="8310" w:type="dxa"/>
                    <w:tblLook w:val="04A0"/>
                  </w:tblPr>
                  <w:tblGrid>
                    <w:gridCol w:w="8310"/>
                  </w:tblGrid>
                  <w:tr w:rsidR="004D3E47">
                    <w:tc>
                      <w:tcPr>
                        <w:tcW w:w="8310" w:type="dxa"/>
                        <w:tcMar>
                          <w:top w:w="0" w:type="dxa"/>
                          <w:left w:w="0" w:type="dxa"/>
                          <w:bottom w:w="0" w:type="dxa"/>
                          <w:right w:w="0" w:type="dxa"/>
                        </w:tcMar>
                        <w:vAlign w:val="center"/>
                        <w:hideMark/>
                      </w:tcPr>
                      <w:p w:rsidR="004D3E47" w:rsidRDefault="004D3E47">
                        <w:pPr>
                          <w:spacing w:after="150" w:line="312" w:lineRule="atLeast"/>
                          <w:outlineLvl w:val="1"/>
                          <w:rPr>
                            <w:rFonts w:ascii="Arial" w:eastAsia="Times New Roman" w:hAnsi="Arial" w:cs="Arial"/>
                            <w:b/>
                            <w:bCs/>
                            <w:color w:val="000000"/>
                            <w:kern w:val="36"/>
                            <w:sz w:val="27"/>
                            <w:szCs w:val="27"/>
                            <w:lang w:eastAsia="zh-TW"/>
                          </w:rPr>
                        </w:pPr>
                        <w:r>
                          <w:rPr>
                            <w:rFonts w:ascii="MingLiU" w:eastAsia="MingLiU" w:hAnsi="MingLiU" w:cs="MingLiU" w:hint="eastAsia"/>
                            <w:b/>
                            <w:bCs/>
                            <w:color w:val="000000"/>
                            <w:kern w:val="36"/>
                            <w:sz w:val="27"/>
                            <w:szCs w:val="27"/>
                            <w:lang w:eastAsia="zh-TW"/>
                          </w:rPr>
                          <w:t>要「激進」還是要「前進」？</w:t>
                        </w:r>
                      </w:p>
                      <w:p w:rsidR="004D3E47" w:rsidRDefault="004D3E47">
                        <w:pPr>
                          <w:spacing w:after="312" w:line="240" w:lineRule="atLeast"/>
                          <w:textAlignment w:val="top"/>
                          <w:rPr>
                            <w:rFonts w:ascii="Arial" w:hAnsi="Arial" w:cs="Arial"/>
                            <w:color w:val="3A352A"/>
                            <w:sz w:val="26"/>
                            <w:szCs w:val="26"/>
                            <w:lang w:eastAsia="zh-TW"/>
                          </w:rPr>
                        </w:pPr>
                        <w:r>
                          <w:rPr>
                            <w:rFonts w:ascii="Arial" w:hAnsi="Arial" w:cs="Arial"/>
                            <w:color w:val="3A352A"/>
                            <w:sz w:val="26"/>
                            <w:szCs w:val="26"/>
                            <w:lang w:eastAsia="zh-TW"/>
                          </w:rPr>
                          <w:t>2013</w:t>
                        </w:r>
                        <w:r>
                          <w:rPr>
                            <w:rFonts w:ascii="Arial" w:hAnsi="Arial" w:cs="Arial" w:hint="eastAsia"/>
                            <w:color w:val="3A352A"/>
                            <w:sz w:val="26"/>
                            <w:szCs w:val="26"/>
                            <w:lang w:eastAsia="zh-TW"/>
                          </w:rPr>
                          <w:t>年在一片鬧哄哄的示威聲中開始，遊行集會達五個之多，有「撑」政府的，也有「反」政府的。其中最大規模的是民間人權陣線（民陣）發起的遊行，香港大學學者指有三萬多人參加，主辦單位則聲稱遊行人數達十三萬人。不管人數是三萬，還是十三萬，遊行人士的訴求，政府都需要警惕和虛心聆聽。</w:t>
                        </w:r>
                      </w:p>
                      <w:p w:rsidR="004D3E47" w:rsidRDefault="004D3E47">
                        <w:pPr>
                          <w:spacing w:after="312" w:line="240" w:lineRule="atLeast"/>
                          <w:textAlignment w:val="top"/>
                          <w:rPr>
                            <w:rFonts w:ascii="Arial" w:hAnsi="Arial" w:cs="Arial"/>
                            <w:color w:val="3A352A"/>
                            <w:sz w:val="26"/>
                            <w:szCs w:val="26"/>
                            <w:lang w:eastAsia="zh-TW"/>
                          </w:rPr>
                        </w:pPr>
                        <w:r>
                          <w:rPr>
                            <w:rFonts w:ascii="Arial" w:hAnsi="Arial" w:cs="Arial" w:hint="eastAsia"/>
                            <w:color w:val="3A352A"/>
                            <w:sz w:val="26"/>
                            <w:szCs w:val="26"/>
                            <w:lang w:eastAsia="zh-TW"/>
                          </w:rPr>
                          <w:t>香港的遊行一向以秩序井然見稱，上述遊行亦一如既往和平進行，是「反」、是「撑」，理性表達，互相尊重各自表達的權利，考慮對其他不參加遊行者的需要，操守足令香港市民引以為傲，亦是最值得我們珍視之處。</w:t>
                        </w:r>
                      </w:p>
                      <w:p w:rsidR="004D3E47" w:rsidRDefault="004D3E47">
                        <w:pPr>
                          <w:spacing w:after="312" w:line="240" w:lineRule="atLeast"/>
                          <w:textAlignment w:val="top"/>
                          <w:rPr>
                            <w:rFonts w:ascii="Arial" w:hAnsi="Arial" w:cs="Arial"/>
                            <w:color w:val="3A352A"/>
                            <w:sz w:val="26"/>
                            <w:szCs w:val="26"/>
                            <w:lang w:eastAsia="zh-TW"/>
                          </w:rPr>
                        </w:pPr>
                        <w:r>
                          <w:rPr>
                            <w:rFonts w:ascii="Arial" w:hAnsi="Arial" w:cs="Arial" w:hint="eastAsia"/>
                            <w:color w:val="3A352A"/>
                            <w:sz w:val="26"/>
                            <w:szCs w:val="26"/>
                            <w:lang w:eastAsia="zh-TW"/>
                          </w:rPr>
                          <w:t>然而，遊行結束後，極少部分的激進示威者，竟然罔顧自身和公眾安全，多次霸佔馬路，癱瘓中環交通，只顧表達自己的訴求，漠視他人的權利，這種抗爭模式，近年已變得屢見不鮮。除了反政府示威者外，亦有「撑」政府遊行人士與電視台攝影師及記者推撞指罵，甚至有人揮拳襲擊攝影師。</w:t>
                        </w:r>
                      </w:p>
                      <w:p w:rsidR="004D3E47" w:rsidRDefault="004D3E47">
                        <w:pPr>
                          <w:spacing w:after="312" w:line="240" w:lineRule="atLeast"/>
                          <w:textAlignment w:val="top"/>
                          <w:rPr>
                            <w:rFonts w:ascii="Arial" w:hAnsi="Arial" w:cs="Arial"/>
                            <w:color w:val="3A352A"/>
                            <w:sz w:val="26"/>
                            <w:szCs w:val="26"/>
                            <w:lang w:eastAsia="zh-TW"/>
                          </w:rPr>
                        </w:pPr>
                        <w:r>
                          <w:rPr>
                            <w:rFonts w:ascii="Arial" w:hAnsi="Arial" w:cs="Arial" w:hint="eastAsia"/>
                            <w:color w:val="3A352A"/>
                            <w:sz w:val="26"/>
                            <w:szCs w:val="26"/>
                            <w:lang w:eastAsia="zh-TW"/>
                          </w:rPr>
                          <w:t>上述例子令筆者不禁反思，除依靠激烈抗爭表達意見和訴求外，是否別無他法？香港可貴和可愛之處，是大部分市民都會互相尊重和體諒，你有你的示威權，我也有權享受有規範和社會秩序帶來的好處，大家絕對可以和平共處。</w:t>
                        </w:r>
                      </w:p>
                      <w:p w:rsidR="004D3E47" w:rsidRDefault="004D3E47">
                        <w:pPr>
                          <w:spacing w:after="312" w:line="240" w:lineRule="atLeast"/>
                          <w:textAlignment w:val="top"/>
                          <w:rPr>
                            <w:rFonts w:ascii="Arial" w:hAnsi="Arial" w:cs="Arial"/>
                            <w:color w:val="3A352A"/>
                            <w:sz w:val="26"/>
                            <w:szCs w:val="26"/>
                            <w:lang w:eastAsia="zh-TW"/>
                          </w:rPr>
                        </w:pPr>
                        <w:r>
                          <w:rPr>
                            <w:rFonts w:ascii="Arial" w:hAnsi="Arial" w:cs="Arial" w:hint="eastAsia"/>
                            <w:color w:val="3A352A"/>
                            <w:sz w:val="26"/>
                            <w:szCs w:val="26"/>
                            <w:lang w:eastAsia="zh-TW"/>
                          </w:rPr>
                          <w:t>有論者稱，香港的示威，相較外國的激烈抗爭，只是小巫見大巫，市民不應大驚小怪。持此論調者宜先考慮香港的實際情況，這些「外國經驗」到底是值得港人參考，還是警戒？香港的社會環境是否已發展到非靠破壞社會安寧去表達訴求不可？不霸佔馬路、不暴力襲擊，是否就不能清晰表達意見和不滿？一名在堵塞馬路期間「受困」的士司機說得很好，他接受電視台訪問時表示：「我不反對你示威，但你都亦沒理由霸</w:t>
                        </w:r>
                        <w:r>
                          <w:rPr>
                            <w:rFonts w:ascii="Arial" w:hAnsi="Arial" w:cs="Arial" w:hint="eastAsia"/>
                            <w:color w:val="3A352A"/>
                            <w:sz w:val="26"/>
                            <w:szCs w:val="26"/>
                            <w:lang w:eastAsia="zh-TW"/>
                          </w:rPr>
                          <w:lastRenderedPageBreak/>
                          <w:t>佔馬路。所有事都有遊戲規則，我駕駛都有交通規則啦！」</w:t>
                        </w:r>
                      </w:p>
                      <w:p w:rsidR="004D3E47" w:rsidRDefault="004D3E47">
                        <w:pPr>
                          <w:spacing w:after="312" w:line="240" w:lineRule="atLeast"/>
                          <w:textAlignment w:val="top"/>
                          <w:rPr>
                            <w:rFonts w:ascii="Arial" w:hAnsi="Arial" w:cs="Arial"/>
                            <w:color w:val="3A352A"/>
                            <w:sz w:val="26"/>
                            <w:szCs w:val="26"/>
                            <w:lang w:eastAsia="zh-TW"/>
                          </w:rPr>
                        </w:pPr>
                        <w:r>
                          <w:rPr>
                            <w:rFonts w:ascii="Arial" w:hAnsi="Arial" w:cs="Arial" w:hint="eastAsia"/>
                            <w:color w:val="3A352A"/>
                            <w:sz w:val="26"/>
                            <w:szCs w:val="26"/>
                            <w:lang w:eastAsia="zh-TW"/>
                          </w:rPr>
                          <w:t>堵塞馬路者聲稱要藉這樣的抗爭活動爭取社會公義和維護香港的核心價值，然而他們的行徑卻毫無說服力。依法守法，尊重法治，正正是香港核心價值，難道示威者的「示威自由」比「法治」更重要嗎？可以凌駕社會秩序和安寧之上嗎？</w:t>
                        </w:r>
                      </w:p>
                      <w:p w:rsidR="004D3E47" w:rsidRDefault="004D3E47">
                        <w:pPr>
                          <w:spacing w:after="312" w:line="240" w:lineRule="atLeast"/>
                          <w:textAlignment w:val="top"/>
                          <w:rPr>
                            <w:rFonts w:ascii="Arial" w:hAnsi="Arial" w:cs="Arial"/>
                            <w:color w:val="3A352A"/>
                            <w:sz w:val="26"/>
                            <w:szCs w:val="26"/>
                            <w:lang w:eastAsia="zh-TW"/>
                          </w:rPr>
                        </w:pPr>
                        <w:r>
                          <w:rPr>
                            <w:rFonts w:ascii="Arial" w:hAnsi="Arial" w:cs="Arial" w:hint="eastAsia"/>
                            <w:color w:val="3A352A"/>
                            <w:sz w:val="26"/>
                            <w:szCs w:val="26"/>
                            <w:lang w:eastAsia="zh-TW"/>
                          </w:rPr>
                          <w:t>有違法的示威者聲稱，警方不容許他們全部一起到禮賓府正門請願，「被迫」用這種激烈的方式抗爭；然而，警方在即晚召開的記者會上迅速道出真相，警方批出「不反對通知書」前，已就示威地點與主辦單位達成共識，換言之領導是次遊行的人根本是得寸進尺，言而無信！</w:t>
                        </w:r>
                      </w:p>
                      <w:p w:rsidR="004D3E47" w:rsidRDefault="004D3E47">
                        <w:pPr>
                          <w:spacing w:after="312" w:line="240" w:lineRule="atLeast"/>
                          <w:textAlignment w:val="top"/>
                          <w:rPr>
                            <w:rFonts w:ascii="Arial" w:hAnsi="Arial" w:cs="Arial"/>
                            <w:color w:val="3A352A"/>
                            <w:sz w:val="26"/>
                            <w:szCs w:val="26"/>
                            <w:lang w:eastAsia="zh-TW"/>
                          </w:rPr>
                        </w:pPr>
                        <w:r>
                          <w:rPr>
                            <w:rFonts w:ascii="Arial" w:hAnsi="Arial" w:cs="Arial" w:hint="eastAsia"/>
                            <w:color w:val="3A352A"/>
                            <w:sz w:val="26"/>
                            <w:szCs w:val="26"/>
                            <w:lang w:eastAsia="zh-TW"/>
                          </w:rPr>
                          <w:t>筆者曾為執法者，較能明白香港警方近年處理遊行示威時所遇到的困難。警察一向尊重市民遊行和集會的自由，即使示威活動愈趨激烈，示威者又不時挑釁、侮辱，甚至襲擊警員，然而警方始終表現克制，致力在保障市民遊行示威自由和公眾秩序間爭取平衡。筆者對警方這次表現非常欣赏。為對付那些言而無信的人，我建議，警方「先小人、後君子」，在「不反對通知書」上列明，警方不會容忍遊行期間的一切不法行為，包括堵塞馬路，一經發現，定必無須再警告便即時拘捕，還那的士司機和其他道路使用者一個公道。</w:t>
                        </w:r>
                      </w:p>
                      <w:p w:rsidR="004D3E47" w:rsidRDefault="004D3E47">
                        <w:pPr>
                          <w:spacing w:after="312" w:line="240" w:lineRule="atLeast"/>
                          <w:textAlignment w:val="top"/>
                          <w:rPr>
                            <w:rFonts w:ascii="Arial" w:hAnsi="Arial" w:cs="Arial"/>
                            <w:color w:val="3A352A"/>
                            <w:sz w:val="26"/>
                            <w:szCs w:val="26"/>
                            <w:lang w:eastAsia="zh-TW"/>
                          </w:rPr>
                        </w:pPr>
                        <w:r>
                          <w:rPr>
                            <w:rFonts w:ascii="Arial" w:hAnsi="Arial" w:cs="Arial" w:hint="eastAsia"/>
                            <w:color w:val="3A352A"/>
                            <w:sz w:val="26"/>
                            <w:szCs w:val="26"/>
                            <w:lang w:eastAsia="zh-TW"/>
                          </w:rPr>
                          <w:t>郭文緯</w:t>
                        </w:r>
                        <w:r>
                          <w:rPr>
                            <w:rFonts w:ascii="Arial" w:hAnsi="Arial" w:cs="Arial"/>
                            <w:color w:val="3A352A"/>
                            <w:sz w:val="26"/>
                            <w:szCs w:val="26"/>
                            <w:lang w:eastAsia="zh-TW"/>
                          </w:rPr>
                          <w:t xml:space="preserve"> </w:t>
                        </w:r>
                        <w:r>
                          <w:rPr>
                            <w:rFonts w:ascii="Arial" w:hAnsi="Arial" w:cs="Arial" w:hint="eastAsia"/>
                            <w:color w:val="3A352A"/>
                            <w:sz w:val="26"/>
                            <w:szCs w:val="26"/>
                            <w:lang w:eastAsia="zh-TW"/>
                          </w:rPr>
                          <w:t>前副廉政專員</w:t>
                        </w:r>
                        <w:r>
                          <w:rPr>
                            <w:rFonts w:ascii="Arial" w:hAnsi="Arial" w:cs="Arial"/>
                            <w:color w:val="3A352A"/>
                            <w:sz w:val="26"/>
                            <w:szCs w:val="26"/>
                            <w:lang w:eastAsia="zh-TW"/>
                          </w:rPr>
                          <w:t>/</w:t>
                        </w:r>
                        <w:r>
                          <w:rPr>
                            <w:rFonts w:ascii="Arial" w:hAnsi="Arial" w:cs="Arial" w:hint="eastAsia"/>
                            <w:color w:val="3A352A"/>
                            <w:sz w:val="26"/>
                            <w:szCs w:val="26"/>
                            <w:lang w:eastAsia="zh-TW"/>
                          </w:rPr>
                          <w:t>香港大學專業進修學院客席教授</w:t>
                        </w:r>
                      </w:p>
                    </w:tc>
                  </w:tr>
                  <w:tr w:rsidR="004D3E47">
                    <w:tc>
                      <w:tcPr>
                        <w:tcW w:w="8310" w:type="dxa"/>
                        <w:tcMar>
                          <w:top w:w="0" w:type="dxa"/>
                          <w:left w:w="0" w:type="dxa"/>
                          <w:bottom w:w="0" w:type="dxa"/>
                          <w:right w:w="0" w:type="dxa"/>
                        </w:tcMar>
                        <w:vAlign w:val="center"/>
                        <w:hideMark/>
                      </w:tcPr>
                      <w:tbl>
                        <w:tblPr>
                          <w:tblW w:w="8310" w:type="dxa"/>
                          <w:jc w:val="center"/>
                          <w:tblLook w:val="04A0"/>
                        </w:tblPr>
                        <w:tblGrid>
                          <w:gridCol w:w="4050"/>
                          <w:gridCol w:w="210"/>
                          <w:gridCol w:w="4050"/>
                        </w:tblGrid>
                        <w:tr w:rsidR="004D3E47">
                          <w:trPr>
                            <w:jc w:val="center"/>
                          </w:trPr>
                          <w:tc>
                            <w:tcPr>
                              <w:tcW w:w="0" w:type="auto"/>
                              <w:tcMar>
                                <w:top w:w="0" w:type="dxa"/>
                                <w:left w:w="0" w:type="dxa"/>
                                <w:bottom w:w="0" w:type="dxa"/>
                                <w:right w:w="0" w:type="dxa"/>
                              </w:tcMar>
                              <w:hideMark/>
                            </w:tcPr>
                            <w:p w:rsidR="004D3E47" w:rsidRDefault="004D3E47">
                              <w:pPr>
                                <w:jc w:val="center"/>
                                <w:rPr>
                                  <w:rFonts w:eastAsia="Times New Roman"/>
                                </w:rPr>
                              </w:pPr>
                              <w:r>
                                <w:rPr>
                                  <w:rFonts w:eastAsia="Times New Roman"/>
                                  <w:noProof/>
                                  <w:color w:val="597BB7"/>
                                </w:rPr>
                                <w:lastRenderedPageBreak/>
                                <w:drawing>
                                  <wp:inline distT="0" distB="0" distL="0" distR="0">
                                    <wp:extent cx="2545080" cy="548640"/>
                                    <wp:effectExtent l="19050" t="0" r="7620" b="0"/>
                                    <wp:docPr id="2" name="Picture 2" descr="Facebook_Page">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_Page"/>
                                            <pic:cNvPicPr>
                                              <a:picLocks noChangeAspect="1" noChangeArrowheads="1"/>
                                            </pic:cNvPicPr>
                                          </pic:nvPicPr>
                                          <pic:blipFill>
                                            <a:blip r:embed="rId8" cstate="print"/>
                                            <a:srcRect/>
                                            <a:stretch>
                                              <a:fillRect/>
                                            </a:stretch>
                                          </pic:blipFill>
                                          <pic:spPr bwMode="auto">
                                            <a:xfrm>
                                              <a:off x="0" y="0"/>
                                              <a:ext cx="2545080" cy="548640"/>
                                            </a:xfrm>
                                            <a:prstGeom prst="rect">
                                              <a:avLst/>
                                            </a:prstGeom>
                                            <a:noFill/>
                                            <a:ln w="9525">
                                              <a:noFill/>
                                              <a:miter lim="800000"/>
                                              <a:headEnd/>
                                              <a:tailEnd/>
                                            </a:ln>
                                          </pic:spPr>
                                        </pic:pic>
                                      </a:graphicData>
                                    </a:graphic>
                                  </wp:inline>
                                </w:drawing>
                              </w:r>
                            </w:p>
                          </w:tc>
                          <w:tc>
                            <w:tcPr>
                              <w:tcW w:w="300" w:type="dxa"/>
                              <w:tcMar>
                                <w:top w:w="0" w:type="dxa"/>
                                <w:left w:w="0" w:type="dxa"/>
                                <w:bottom w:w="0" w:type="dxa"/>
                                <w:right w:w="0" w:type="dxa"/>
                              </w:tcMar>
                              <w:vAlign w:val="center"/>
                              <w:hideMark/>
                            </w:tcPr>
                            <w:p w:rsidR="004D3E47" w:rsidRDefault="004D3E47">
                              <w:pPr>
                                <w:rPr>
                                  <w:rFonts w:asciiTheme="minorHAnsi" w:hAnsiTheme="minorHAnsi" w:cstheme="minorBidi"/>
                                  <w:sz w:val="22"/>
                                  <w:szCs w:val="22"/>
                                </w:rPr>
                              </w:pPr>
                            </w:p>
                          </w:tc>
                          <w:tc>
                            <w:tcPr>
                              <w:tcW w:w="0" w:type="auto"/>
                              <w:tcMar>
                                <w:top w:w="0" w:type="dxa"/>
                                <w:left w:w="0" w:type="dxa"/>
                                <w:bottom w:w="0" w:type="dxa"/>
                                <w:right w:w="0" w:type="dxa"/>
                              </w:tcMar>
                              <w:hideMark/>
                            </w:tcPr>
                            <w:p w:rsidR="004D3E47" w:rsidRDefault="004D3E47">
                              <w:pPr>
                                <w:jc w:val="center"/>
                                <w:rPr>
                                  <w:rFonts w:eastAsia="Times New Roman"/>
                                </w:rPr>
                              </w:pPr>
                              <w:r>
                                <w:rPr>
                                  <w:rFonts w:eastAsia="Times New Roman"/>
                                  <w:noProof/>
                                  <w:color w:val="597BB7"/>
                                </w:rPr>
                                <w:drawing>
                                  <wp:inline distT="0" distB="0" distL="0" distR="0">
                                    <wp:extent cx="2545080" cy="548640"/>
                                    <wp:effectExtent l="19050" t="0" r="7620" b="0"/>
                                    <wp:docPr id="3" name="Picture 3" descr="Yahoo_Blo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hoo_Blog"/>
                                            <pic:cNvPicPr>
                                              <a:picLocks noChangeAspect="1" noChangeArrowheads="1"/>
                                            </pic:cNvPicPr>
                                          </pic:nvPicPr>
                                          <pic:blipFill>
                                            <a:blip r:embed="rId10" cstate="print"/>
                                            <a:srcRect/>
                                            <a:stretch>
                                              <a:fillRect/>
                                            </a:stretch>
                                          </pic:blipFill>
                                          <pic:spPr bwMode="auto">
                                            <a:xfrm>
                                              <a:off x="0" y="0"/>
                                              <a:ext cx="2545080" cy="548640"/>
                                            </a:xfrm>
                                            <a:prstGeom prst="rect">
                                              <a:avLst/>
                                            </a:prstGeom>
                                            <a:noFill/>
                                            <a:ln w="9525">
                                              <a:noFill/>
                                              <a:miter lim="800000"/>
                                              <a:headEnd/>
                                              <a:tailEnd/>
                                            </a:ln>
                                          </pic:spPr>
                                        </pic:pic>
                                      </a:graphicData>
                                    </a:graphic>
                                  </wp:inline>
                                </w:drawing>
                              </w:r>
                            </w:p>
                          </w:tc>
                        </w:tr>
                      </w:tbl>
                      <w:p w:rsidR="004D3E47" w:rsidRDefault="004D3E47">
                        <w:pPr>
                          <w:jc w:val="center"/>
                          <w:rPr>
                            <w:rFonts w:asciiTheme="minorHAnsi" w:hAnsiTheme="minorHAnsi" w:cstheme="minorBidi"/>
                            <w:sz w:val="22"/>
                            <w:szCs w:val="22"/>
                          </w:rPr>
                        </w:pPr>
                      </w:p>
                    </w:tc>
                  </w:tr>
                </w:tbl>
                <w:p w:rsidR="004D3E47" w:rsidRDefault="004D3E47">
                  <w:pPr>
                    <w:rPr>
                      <w:rFonts w:ascii="Helvetica" w:eastAsia="Times New Roman" w:hAnsi="Helvetica" w:cs="Helvetica"/>
                      <w:vanish/>
                    </w:rPr>
                  </w:pPr>
                </w:p>
                <w:tbl>
                  <w:tblPr>
                    <w:tblW w:w="8310" w:type="dxa"/>
                    <w:tblLook w:val="04A0"/>
                  </w:tblPr>
                  <w:tblGrid>
                    <w:gridCol w:w="8310"/>
                  </w:tblGrid>
                  <w:tr w:rsidR="004D3E47">
                    <w:tc>
                      <w:tcPr>
                        <w:tcW w:w="8310" w:type="dxa"/>
                        <w:tcMar>
                          <w:top w:w="0" w:type="dxa"/>
                          <w:left w:w="0" w:type="dxa"/>
                          <w:bottom w:w="0" w:type="dxa"/>
                          <w:right w:w="0" w:type="dxa"/>
                        </w:tcMar>
                        <w:vAlign w:val="center"/>
                        <w:hideMark/>
                      </w:tcPr>
                      <w:tbl>
                        <w:tblPr>
                          <w:tblpPr w:leftFromText="45" w:rightFromText="45" w:topFromText="100" w:bottomFromText="100" w:vertAnchor="text" w:tblpXSpec="right" w:tblpYSpec="center"/>
                          <w:tblW w:w="2400" w:type="dxa"/>
                          <w:tblLook w:val="04A0"/>
                        </w:tblPr>
                        <w:tblGrid>
                          <w:gridCol w:w="2430"/>
                        </w:tblGrid>
                        <w:tr w:rsidR="004D3E47">
                          <w:tc>
                            <w:tcPr>
                              <w:tcW w:w="0" w:type="auto"/>
                              <w:tcMar>
                                <w:top w:w="0" w:type="dxa"/>
                                <w:left w:w="0" w:type="dxa"/>
                                <w:bottom w:w="0" w:type="dxa"/>
                                <w:right w:w="0" w:type="dxa"/>
                              </w:tcMar>
                              <w:vAlign w:val="center"/>
                              <w:hideMark/>
                            </w:tcPr>
                            <w:p w:rsidR="004D3E47" w:rsidRDefault="004D3E47">
                              <w:pPr>
                                <w:rPr>
                                  <w:rFonts w:eastAsia="Times New Roman"/>
                                </w:rPr>
                              </w:pPr>
                              <w:r>
                                <w:rPr>
                                  <w:rFonts w:eastAsia="Times New Roman"/>
                                  <w:noProof/>
                                </w:rPr>
                                <w:drawing>
                                  <wp:inline distT="0" distB="0" distL="0" distR="0">
                                    <wp:extent cx="1524000" cy="1524000"/>
                                    <wp:effectExtent l="19050" t="0" r="0" b="0"/>
                                    <wp:docPr id="4" name="Picture 4" descr="香港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香港營logo"/>
                                            <pic:cNvPicPr>
                                              <a:picLocks noChangeAspect="1" noChangeArrowheads="1"/>
                                            </pic:cNvPicPr>
                                          </pic:nvPicPr>
                                          <pic:blipFill>
                                            <a:blip r:embed="rId11"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r>
                      </w:tbl>
                      <w:p w:rsidR="004D3E47" w:rsidRDefault="004D3E47">
                        <w:pPr>
                          <w:spacing w:after="312" w:line="240" w:lineRule="atLeast"/>
                          <w:textAlignment w:val="top"/>
                          <w:rPr>
                            <w:rFonts w:ascii="Arial" w:hAnsi="Arial" w:cs="Arial"/>
                            <w:color w:val="3A352A"/>
                            <w:sz w:val="26"/>
                            <w:szCs w:val="26"/>
                            <w:lang w:eastAsia="zh-TW"/>
                          </w:rPr>
                        </w:pPr>
                        <w:r>
                          <w:rPr>
                            <w:rFonts w:ascii="Arial" w:hAnsi="Arial" w:cs="Arial" w:hint="eastAsia"/>
                            <w:color w:val="3A352A"/>
                            <w:sz w:val="26"/>
                            <w:szCs w:val="26"/>
                            <w:lang w:eastAsia="zh-TW"/>
                          </w:rPr>
                          <w:t>香港營由一群有承擔、愛香港的人士建立，當中包括不少成功專業人士。他們希望以自己的專業知識服務社群，提出正面和建設性的意見，以改善香港的社會民生和環境。</w:t>
                        </w:r>
                      </w:p>
                      <w:p w:rsidR="004D3E47" w:rsidRDefault="004D3E47">
                        <w:pPr>
                          <w:spacing w:after="312" w:line="240" w:lineRule="atLeast"/>
                          <w:textAlignment w:val="top"/>
                          <w:rPr>
                            <w:rFonts w:ascii="Arial" w:hAnsi="Arial" w:cs="Arial"/>
                            <w:color w:val="3A352A"/>
                            <w:sz w:val="26"/>
                            <w:szCs w:val="26"/>
                          </w:rPr>
                        </w:pPr>
                        <w:proofErr w:type="spellStart"/>
                        <w:proofErr w:type="gramStart"/>
                        <w:r>
                          <w:rPr>
                            <w:rFonts w:ascii="Arial" w:hAnsi="Arial" w:cs="Arial"/>
                            <w:color w:val="3A352A"/>
                            <w:sz w:val="26"/>
                            <w:szCs w:val="26"/>
                          </w:rPr>
                          <w:t>campHK</w:t>
                        </w:r>
                        <w:proofErr w:type="spellEnd"/>
                        <w:proofErr w:type="gramEnd"/>
                        <w:r>
                          <w:rPr>
                            <w:rFonts w:ascii="Arial" w:hAnsi="Arial" w:cs="Arial"/>
                            <w:color w:val="3A352A"/>
                            <w:sz w:val="26"/>
                            <w:szCs w:val="26"/>
                          </w:rPr>
                          <w:t xml:space="preserve"> has been set up by a group of committed Hong Kong citizens, including many successful professionals, who are willing to put their expertise to use by offering positive and constructive input to the community as to how best to improve the livelihood of the people and the overall environment of the SAR.</w:t>
                        </w:r>
                      </w:p>
                    </w:tc>
                  </w:tr>
                </w:tbl>
                <w:p w:rsidR="004D3E47" w:rsidRDefault="004D3E47">
                  <w:pPr>
                    <w:rPr>
                      <w:rFonts w:asciiTheme="minorHAnsi" w:hAnsiTheme="minorHAnsi" w:cstheme="minorBidi"/>
                      <w:sz w:val="22"/>
                      <w:szCs w:val="22"/>
                    </w:rPr>
                  </w:pPr>
                </w:p>
              </w:tc>
            </w:tr>
          </w:tbl>
          <w:p w:rsidR="004D3E47" w:rsidRDefault="004D3E47">
            <w:pPr>
              <w:rPr>
                <w:rFonts w:eastAsia="Times New Roman"/>
                <w:vanish/>
              </w:rPr>
            </w:pPr>
          </w:p>
          <w:tbl>
            <w:tblPr>
              <w:tblW w:w="8850" w:type="dxa"/>
              <w:tblCellMar>
                <w:left w:w="0" w:type="dxa"/>
                <w:right w:w="0" w:type="dxa"/>
              </w:tblCellMar>
              <w:tblLook w:val="04A0"/>
            </w:tblPr>
            <w:tblGrid>
              <w:gridCol w:w="8850"/>
            </w:tblGrid>
            <w:tr w:rsidR="004D3E47">
              <w:tc>
                <w:tcPr>
                  <w:tcW w:w="8850" w:type="dxa"/>
                  <w:shd w:val="clear" w:color="auto" w:fill="F18602"/>
                  <w:tcMar>
                    <w:top w:w="150" w:type="dxa"/>
                    <w:left w:w="150" w:type="dxa"/>
                    <w:bottom w:w="150" w:type="dxa"/>
                    <w:right w:w="150" w:type="dxa"/>
                  </w:tcMar>
                  <w:vAlign w:val="center"/>
                  <w:hideMark/>
                </w:tcPr>
                <w:p w:rsidR="004D3E47" w:rsidRDefault="004D3E47">
                  <w:pPr>
                    <w:rPr>
                      <w:rFonts w:ascii="Arial" w:eastAsia="Times New Roman" w:hAnsi="Arial" w:cs="Arial"/>
                      <w:color w:val="FFFFFF"/>
                      <w:sz w:val="18"/>
                      <w:szCs w:val="18"/>
                    </w:rPr>
                  </w:pPr>
                  <w:r>
                    <w:rPr>
                      <w:rFonts w:ascii="Arial" w:eastAsia="Times New Roman" w:hAnsi="Arial" w:cs="Arial"/>
                      <w:color w:val="FFFFFF"/>
                      <w:sz w:val="18"/>
                      <w:szCs w:val="18"/>
                    </w:rPr>
                    <w:t xml:space="preserve">©2013 </w:t>
                  </w:r>
                  <w:r>
                    <w:rPr>
                      <w:rFonts w:ascii="MingLiU" w:eastAsia="MingLiU" w:hAnsi="MingLiU" w:cs="MingLiU" w:hint="eastAsia"/>
                      <w:color w:val="FFFFFF"/>
                      <w:sz w:val="18"/>
                      <w:szCs w:val="18"/>
                    </w:rPr>
                    <w:t>香港營</w:t>
                  </w:r>
                  <w:r>
                    <w:rPr>
                      <w:rFonts w:ascii="Arial" w:eastAsia="Times New Roman" w:hAnsi="Arial" w:cs="Arial"/>
                      <w:color w:val="FFFFFF"/>
                      <w:sz w:val="18"/>
                      <w:szCs w:val="18"/>
                    </w:rPr>
                    <w:t xml:space="preserve"> </w:t>
                  </w:r>
                  <w:proofErr w:type="spellStart"/>
                  <w:r>
                    <w:rPr>
                      <w:rFonts w:ascii="Arial" w:eastAsia="Times New Roman" w:hAnsi="Arial" w:cs="Arial"/>
                      <w:color w:val="FFFFFF"/>
                      <w:sz w:val="18"/>
                      <w:szCs w:val="18"/>
                    </w:rPr>
                    <w:t>campHK</w:t>
                  </w:r>
                  <w:proofErr w:type="spellEnd"/>
                  <w:r>
                    <w:rPr>
                      <w:rFonts w:ascii="Arial" w:eastAsia="Times New Roman" w:hAnsi="Arial" w:cs="Arial"/>
                      <w:color w:val="FFFFFF"/>
                      <w:sz w:val="18"/>
                      <w:szCs w:val="18"/>
                    </w:rPr>
                    <w:t xml:space="preserve"> | </w:t>
                  </w:r>
                  <w:r>
                    <w:rPr>
                      <w:rFonts w:ascii="MingLiU" w:eastAsia="MingLiU" w:hAnsi="MingLiU" w:cs="MingLiU" w:hint="eastAsia"/>
                      <w:color w:val="FFFFFF"/>
                      <w:sz w:val="18"/>
                      <w:szCs w:val="18"/>
                    </w:rPr>
                    <w:t>香港營</w:t>
                  </w:r>
                  <w:r>
                    <w:rPr>
                      <w:rFonts w:ascii="Arial" w:eastAsia="Times New Roman" w:hAnsi="Arial" w:cs="Arial"/>
                      <w:color w:val="FFFFFF"/>
                      <w:sz w:val="18"/>
                      <w:szCs w:val="18"/>
                    </w:rPr>
                    <w:t xml:space="preserve"> </w:t>
                  </w:r>
                </w:p>
              </w:tc>
            </w:tr>
          </w:tbl>
          <w:p w:rsidR="004D3E47" w:rsidRDefault="004D3E47">
            <w:pPr>
              <w:rPr>
                <w:rFonts w:asciiTheme="minorHAnsi" w:hAnsiTheme="minorHAnsi" w:cstheme="minorBidi"/>
                <w:sz w:val="22"/>
                <w:szCs w:val="22"/>
              </w:rPr>
            </w:pPr>
          </w:p>
        </w:tc>
      </w:tr>
    </w:tbl>
    <w:p w:rsidR="00393278" w:rsidRDefault="00393278"/>
    <w:sectPr w:rsidR="00393278" w:rsidSect="003932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4D3E47"/>
    <w:rsid w:val="00326D0C"/>
    <w:rsid w:val="00393278"/>
    <w:rsid w:val="004D3E47"/>
    <w:rsid w:val="00D9209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E4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E47"/>
    <w:rPr>
      <w:color w:val="0000FF" w:themeColor="hyperlink"/>
      <w:u w:val="single"/>
    </w:rPr>
  </w:style>
  <w:style w:type="character" w:customStyle="1" w:styleId="forward-to">
    <w:name w:val="forward-to"/>
    <w:basedOn w:val="DefaultParagraphFont"/>
    <w:rsid w:val="004D3E47"/>
  </w:style>
</w:styles>
</file>

<file path=word/webSettings.xml><?xml version="1.0" encoding="utf-8"?>
<w:webSettings xmlns:r="http://schemas.openxmlformats.org/officeDocument/2006/relationships" xmlns:w="http://schemas.openxmlformats.org/wordprocessingml/2006/main">
  <w:divs>
    <w:div w:id="12101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o.madmimi.com/redirects/1357828711-b58d536e70d4733b0ccd1a675c0d6a28-5ce49d6?pa=32460056414653430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go.madmimi.com/redirects/1357828711-1437eedb6a47971d2cdb22f6f509b2c8-5ce49d6?pa=324600564146534301" TargetMode="External"/><Relationship Id="rId10" Type="http://schemas.openxmlformats.org/officeDocument/2006/relationships/image" Target="media/image3.png"/><Relationship Id="rId4" Type="http://schemas.openxmlformats.org/officeDocument/2006/relationships/hyperlink" Target="https://go.madmimi.com/forward/324600564146534301?amx=3229083597" TargetMode="External"/><Relationship Id="rId9" Type="http://schemas.openxmlformats.org/officeDocument/2006/relationships/hyperlink" Target="https://go.madmimi.com/redirects/1357828711-f4ae4df47dbccb7976c2a4cce32eb371-5ce49d6?pa=324600564146534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Kwok</dc:creator>
  <cp:keywords/>
  <dc:description/>
  <cp:lastModifiedBy>Tony Kwok</cp:lastModifiedBy>
  <cp:revision>2</cp:revision>
  <dcterms:created xsi:type="dcterms:W3CDTF">2013-01-12T07:13:00Z</dcterms:created>
  <dcterms:modified xsi:type="dcterms:W3CDTF">2013-01-12T07:13:00Z</dcterms:modified>
</cp:coreProperties>
</file>