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jc w:val="center"/>
        <w:tblCellSpacing w:w="15" w:type="dxa"/>
        <w:tblLook w:val="04A0"/>
      </w:tblPr>
      <w:tblGrid>
        <w:gridCol w:w="8970"/>
      </w:tblGrid>
      <w:tr w:rsidR="004D3E47" w:rsidTr="004D3E47">
        <w:trPr>
          <w:tblCellSpacing w:w="15" w:type="dxa"/>
          <w:jc w:val="center"/>
        </w:trPr>
        <w:tc>
          <w:tcPr>
            <w:tcW w:w="0" w:type="auto"/>
            <w:tcMar>
              <w:top w:w="15" w:type="dxa"/>
              <w:left w:w="15" w:type="dxa"/>
              <w:bottom w:w="15" w:type="dxa"/>
              <w:right w:w="15" w:type="dxa"/>
            </w:tcMar>
            <w:vAlign w:val="center"/>
            <w:hideMark/>
          </w:tcPr>
          <w:tbl>
            <w:tblPr>
              <w:tblW w:w="8880" w:type="dxa"/>
              <w:tblCellSpacing w:w="15" w:type="dxa"/>
              <w:shd w:val="clear" w:color="auto" w:fill="F18602"/>
              <w:tblCellMar>
                <w:top w:w="120" w:type="dxa"/>
                <w:left w:w="120" w:type="dxa"/>
                <w:bottom w:w="120" w:type="dxa"/>
                <w:right w:w="120" w:type="dxa"/>
              </w:tblCellMar>
              <w:tblLook w:val="04A0"/>
            </w:tblPr>
            <w:tblGrid>
              <w:gridCol w:w="8880"/>
            </w:tblGrid>
            <w:tr w:rsidR="004D3E47">
              <w:trPr>
                <w:tblCellSpacing w:w="15" w:type="dxa"/>
              </w:trPr>
              <w:tc>
                <w:tcPr>
                  <w:tcW w:w="0" w:type="auto"/>
                  <w:shd w:val="clear" w:color="auto" w:fill="F18602"/>
                  <w:vAlign w:val="center"/>
                  <w:hideMark/>
                </w:tcPr>
                <w:p w:rsidR="004D3E47" w:rsidRDefault="004D3E47">
                  <w:pPr>
                    <w:spacing w:before="100" w:beforeAutospacing="1" w:after="100" w:afterAutospacing="1"/>
                    <w:jc w:val="center"/>
                    <w:rPr>
                      <w:rFonts w:ascii="Arial" w:eastAsia="Times New Roman" w:hAnsi="Arial" w:cs="Arial"/>
                      <w:color w:val="FFFFFF"/>
                      <w:sz w:val="18"/>
                      <w:szCs w:val="18"/>
                    </w:rPr>
                  </w:pPr>
                  <w:r>
                    <w:rPr>
                      <w:rStyle w:val="forward-to"/>
                      <w:rFonts w:ascii="Arial" w:eastAsia="Times New Roman" w:hAnsi="Arial" w:cs="Arial"/>
                      <w:color w:val="FFFFFF"/>
                      <w:sz w:val="18"/>
                      <w:szCs w:val="18"/>
                    </w:rPr>
                    <w:t xml:space="preserve">You can also </w:t>
                  </w:r>
                  <w:hyperlink r:id="rId4" w:history="1">
                    <w:r>
                      <w:rPr>
                        <w:rStyle w:val="Hyperlink"/>
                        <w:rFonts w:ascii="Arial" w:eastAsia="Times New Roman" w:hAnsi="Arial" w:cs="Arial"/>
                        <w:color w:val="FFFFFF"/>
                        <w:sz w:val="18"/>
                        <w:szCs w:val="18"/>
                      </w:rPr>
                      <w:t>forward to a friend</w:t>
                    </w:r>
                  </w:hyperlink>
                  <w:r>
                    <w:rPr>
                      <w:rStyle w:val="forward-to"/>
                      <w:rFonts w:ascii="Arial" w:eastAsia="Times New Roman" w:hAnsi="Arial" w:cs="Arial"/>
                      <w:color w:val="FFFFFF"/>
                      <w:sz w:val="18"/>
                      <w:szCs w:val="18"/>
                    </w:rPr>
                    <w:t>.</w:t>
                  </w:r>
                  <w:r>
                    <w:rPr>
                      <w:rFonts w:ascii="Arial" w:eastAsia="Times New Roman" w:hAnsi="Arial" w:cs="Arial"/>
                      <w:color w:val="FFFFFF"/>
                      <w:sz w:val="18"/>
                      <w:szCs w:val="18"/>
                    </w:rPr>
                    <w:t xml:space="preserve"> </w:t>
                  </w:r>
                </w:p>
              </w:tc>
            </w:tr>
          </w:tbl>
          <w:p w:rsidR="004D3E47" w:rsidRDefault="004D3E47">
            <w:pPr>
              <w:rPr>
                <w:rFonts w:asciiTheme="minorHAnsi" w:hAnsiTheme="minorHAnsi" w:cstheme="minorBidi"/>
                <w:sz w:val="22"/>
                <w:szCs w:val="22"/>
              </w:rPr>
            </w:pPr>
          </w:p>
        </w:tc>
      </w:tr>
    </w:tbl>
    <w:p w:rsidR="004D3E47" w:rsidRDefault="004D3E47" w:rsidP="004D3E47">
      <w:pPr>
        <w:shd w:val="clear" w:color="auto" w:fill="FFFFFF"/>
        <w:rPr>
          <w:rFonts w:eastAsia="Times New Roman"/>
          <w:vanish/>
        </w:rPr>
      </w:pPr>
    </w:p>
    <w:tbl>
      <w:tblPr>
        <w:tblW w:w="8850" w:type="dxa"/>
        <w:jc w:val="center"/>
        <w:tblBorders>
          <w:top w:val="single" w:sz="6" w:space="0" w:color="F18602"/>
          <w:left w:val="single" w:sz="6" w:space="0" w:color="F18602"/>
          <w:bottom w:val="single" w:sz="6" w:space="0" w:color="F18602"/>
          <w:right w:val="single" w:sz="6" w:space="0" w:color="F18602"/>
        </w:tblBorders>
        <w:shd w:val="clear" w:color="auto" w:fill="FFFFFF"/>
        <w:tblCellMar>
          <w:left w:w="0" w:type="dxa"/>
          <w:right w:w="0" w:type="dxa"/>
        </w:tblCellMar>
        <w:tblLook w:val="04A0"/>
      </w:tblPr>
      <w:tblGrid>
        <w:gridCol w:w="8901"/>
      </w:tblGrid>
      <w:tr w:rsidR="004D3E47" w:rsidTr="004D3E47">
        <w:trPr>
          <w:jc w:val="center"/>
        </w:trPr>
        <w:tc>
          <w:tcPr>
            <w:tcW w:w="0" w:type="auto"/>
            <w:tcBorders>
              <w:top w:val="single" w:sz="6" w:space="0" w:color="F18602"/>
              <w:left w:val="single" w:sz="6" w:space="0" w:color="F18602"/>
              <w:bottom w:val="single" w:sz="6" w:space="0" w:color="F18602"/>
              <w:right w:val="single" w:sz="6" w:space="0" w:color="F18602"/>
            </w:tcBorders>
            <w:shd w:val="clear" w:color="auto" w:fill="FFFFFF"/>
            <w:vAlign w:val="center"/>
          </w:tcPr>
          <w:tbl>
            <w:tblPr>
              <w:tblW w:w="8850" w:type="dxa"/>
              <w:jc w:val="center"/>
              <w:tblCellMar>
                <w:left w:w="0" w:type="dxa"/>
                <w:right w:w="0" w:type="dxa"/>
              </w:tblCellMar>
              <w:tblLook w:val="04A0"/>
            </w:tblPr>
            <w:tblGrid>
              <w:gridCol w:w="8886"/>
            </w:tblGrid>
            <w:tr w:rsidR="004D3E47">
              <w:trPr>
                <w:jc w:val="center"/>
              </w:trPr>
              <w:tc>
                <w:tcPr>
                  <w:tcW w:w="0" w:type="auto"/>
                  <w:vAlign w:val="center"/>
                  <w:hideMark/>
                </w:tcPr>
                <w:p w:rsidR="004D3E47" w:rsidRDefault="004D3E47">
                  <w:pPr>
                    <w:rPr>
                      <w:rFonts w:ascii="Helvetica" w:eastAsia="Times New Roman" w:hAnsi="Helvetica" w:cs="Helvetica"/>
                    </w:rPr>
                  </w:pPr>
                  <w:r>
                    <w:rPr>
                      <w:rFonts w:ascii="Helvetica" w:eastAsia="Times New Roman" w:hAnsi="Helvetica" w:cs="Helvetica"/>
                      <w:noProof/>
                      <w:color w:val="597BB7"/>
                    </w:rPr>
                    <w:drawing>
                      <wp:inline distT="0" distB="0" distL="0" distR="0">
                        <wp:extent cx="5623560" cy="1905000"/>
                        <wp:effectExtent l="19050" t="0" r="0" b="0"/>
                        <wp:docPr id="1" name="Picture 1" descr="camphk_edm_share_ma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k_edm_share_master"/>
                                <pic:cNvPicPr>
                                  <a:picLocks noChangeAspect="1" noChangeArrowheads="1"/>
                                </pic:cNvPicPr>
                              </pic:nvPicPr>
                              <pic:blipFill>
                                <a:blip r:embed="rId6" cstate="print"/>
                                <a:srcRect/>
                                <a:stretch>
                                  <a:fillRect/>
                                </a:stretch>
                              </pic:blipFill>
                              <pic:spPr bwMode="auto">
                                <a:xfrm>
                                  <a:off x="0" y="0"/>
                                  <a:ext cx="5623560" cy="1905000"/>
                                </a:xfrm>
                                <a:prstGeom prst="rect">
                                  <a:avLst/>
                                </a:prstGeom>
                                <a:noFill/>
                                <a:ln w="9525">
                                  <a:noFill/>
                                  <a:miter lim="800000"/>
                                  <a:headEnd/>
                                  <a:tailEnd/>
                                </a:ln>
                              </pic:spPr>
                            </pic:pic>
                          </a:graphicData>
                        </a:graphic>
                      </wp:inline>
                    </w:drawing>
                  </w:r>
                </w:p>
              </w:tc>
            </w:tr>
          </w:tbl>
          <w:p w:rsidR="004D3E47" w:rsidRDefault="004D3E47">
            <w:pPr>
              <w:rPr>
                <w:rFonts w:eastAsia="Times New Roman"/>
                <w:vanish/>
              </w:rPr>
            </w:pPr>
          </w:p>
          <w:tbl>
            <w:tblPr>
              <w:tblW w:w="8850" w:type="dxa"/>
              <w:jc w:val="center"/>
              <w:tblCellMar>
                <w:left w:w="0" w:type="dxa"/>
                <w:right w:w="0" w:type="dxa"/>
              </w:tblCellMar>
              <w:tblLook w:val="04A0"/>
            </w:tblPr>
            <w:tblGrid>
              <w:gridCol w:w="8850"/>
            </w:tblGrid>
            <w:tr w:rsidR="004D3E47">
              <w:trPr>
                <w:jc w:val="center"/>
              </w:trPr>
              <w:tc>
                <w:tcPr>
                  <w:tcW w:w="8490" w:type="dxa"/>
                  <w:tcMar>
                    <w:top w:w="120" w:type="dxa"/>
                    <w:left w:w="270" w:type="dxa"/>
                    <w:bottom w:w="120" w:type="dxa"/>
                    <w:right w:w="270" w:type="dxa"/>
                  </w:tcMar>
                </w:tcPr>
                <w:tbl>
                  <w:tblPr>
                    <w:tblW w:w="8310" w:type="dxa"/>
                    <w:tblLook w:val="04A0"/>
                  </w:tblPr>
                  <w:tblGrid>
                    <w:gridCol w:w="8310"/>
                  </w:tblGrid>
                  <w:tr w:rsidR="004D3E47">
                    <w:tc>
                      <w:tcPr>
                        <w:tcW w:w="8310" w:type="dxa"/>
                        <w:tcMar>
                          <w:top w:w="0" w:type="dxa"/>
                          <w:left w:w="0" w:type="dxa"/>
                          <w:bottom w:w="0" w:type="dxa"/>
                          <w:right w:w="0" w:type="dxa"/>
                        </w:tcMar>
                        <w:vAlign w:val="center"/>
                        <w:hideMark/>
                      </w:tcPr>
                      <w:p w:rsidR="004D3E47" w:rsidRDefault="004D3E47">
                        <w:pPr>
                          <w:spacing w:after="150" w:line="312" w:lineRule="atLeast"/>
                          <w:outlineLvl w:val="1"/>
                          <w:rPr>
                            <w:rFonts w:ascii="Arial" w:eastAsia="Times New Roman" w:hAnsi="Arial" w:cs="Arial"/>
                            <w:b/>
                            <w:bCs/>
                            <w:color w:val="000000"/>
                            <w:kern w:val="36"/>
                            <w:sz w:val="27"/>
                            <w:szCs w:val="27"/>
                            <w:lang w:eastAsia="zh-TW"/>
                          </w:rPr>
                        </w:pPr>
                        <w:r>
                          <w:rPr>
                            <w:rFonts w:ascii="MingLiU" w:eastAsia="MingLiU" w:hAnsi="MingLiU" w:cs="MingLiU" w:hint="eastAsia"/>
                            <w:b/>
                            <w:bCs/>
                            <w:color w:val="000000"/>
                            <w:kern w:val="36"/>
                            <w:sz w:val="27"/>
                            <w:szCs w:val="27"/>
                            <w:lang w:eastAsia="zh-TW"/>
                          </w:rPr>
                          <w:t>要「激進」還是要「前進」？</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color w:val="3A352A"/>
                            <w:sz w:val="26"/>
                            <w:szCs w:val="26"/>
                            <w:lang w:eastAsia="zh-TW"/>
                          </w:rPr>
                          <w:t>2013</w:t>
                        </w:r>
                        <w:r>
                          <w:rPr>
                            <w:rFonts w:ascii="Arial" w:hAnsi="Arial" w:cs="Arial" w:hint="eastAsia"/>
                            <w:color w:val="3A352A"/>
                            <w:sz w:val="26"/>
                            <w:szCs w:val="26"/>
                            <w:lang w:eastAsia="zh-TW"/>
                          </w:rPr>
                          <w:t>年在一片鬧哄哄的示威聲中開始，遊行集會達五個之多，有「撑」政府的，也有「反」政府的。其中最大規模的是民間人權陣線（民陣）發起的遊行，香港大學學者指有三萬多人參加，主辦單位則聲稱遊行人數達十三萬人。不管人數是三萬，還是十三萬，遊行人士的訴求，政府都需要警惕和虛心聆聽。</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香港的遊行一向以秩序井然見稱，上述遊行亦一如既往和平進行，是「反」、是「撑」，理性表達，互相尊重各自表達的權利，考慮對其他不參加遊行者的需要，操守足令香港市民引以為傲，亦是最值得我們珍視之處。</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然而，遊行結束後，極少部分的激進示威者，竟然罔顧自身和公眾安全，多次霸佔馬路，癱瘓中環交通，只顧表達自己的訴求，漠視他人的權利，這種抗爭模式，近年已變得屢見不鮮。除了反政府示威者外，亦有「撑」政府遊行人士與電視台攝影師及記者推撞指罵，甚至有人揮拳襲擊攝影師。</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上述例子令筆者不禁反思，除依靠激烈抗爭表達意見和訴求外，是否別無他法？香港可貴和可愛之處，是大部分市民都會互相尊重和體諒，你有你的示威權，我也有權享受有規範和社會秩序帶來的好處，大家絕對可以和平共處。</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有論者稱，香港的示威，相較外國的激烈抗爭，只是小巫見大巫，市民不應大驚小怪。持此論調者宜先考慮香港的實際情況，這些「外國經驗」到底是值得港人參考，還是警戒？香港的社會環境是否已發展到非靠破壞社會安寧去表達訴求不可？不霸佔馬路、不暴力襲擊，是否就不能清晰表達意見和不滿？一名在堵塞馬路期間「受困」的士司機說得很好，他接受電視台訪問時表示：「我不反對你示威，但你都亦沒理由霸</w:t>
                        </w:r>
                        <w:r>
                          <w:rPr>
                            <w:rFonts w:ascii="Arial" w:hAnsi="Arial" w:cs="Arial" w:hint="eastAsia"/>
                            <w:color w:val="3A352A"/>
                            <w:sz w:val="26"/>
                            <w:szCs w:val="26"/>
                            <w:lang w:eastAsia="zh-TW"/>
                          </w:rPr>
                          <w:lastRenderedPageBreak/>
                          <w:t>佔馬路。所有事都有遊戲規則，我駕駛都有交通規則啦！」</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堵塞馬路者聲稱要藉這樣的抗爭活動爭取社會公義和維護香港的核心價值，然而他們的行徑卻毫無說服力。依法守法，尊重法治，正正是香港核心價值，難道示威者的「示威自由」比「法治」更重要嗎？可以凌駕社會秩序和安寧之上嗎？</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有違法的示威者聲稱，警方不容許他們全部一起到禮賓府正門請願，「被迫」用這種激烈的方式抗爭；然而，警方在即晚召開的記者會上迅速道出真相，警方批出「不反對通知書」前，已就示威地點與主辦單位達成共識，換言之領導是次遊行的人根本是得寸進尺，言而無信！</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筆者曾為執法者，較能明白香港警方近年處理遊行示威時所遇到的困難。警察一向尊重市民遊行和集會的自由，即使示威活動愈趨激烈，示威者又不時挑釁、侮辱，甚至襲擊警員，然而警方始終表現克制，致力在保障市民遊行示威自由和公眾秩序間爭取平衡。筆者對警方這次表現非常欣赏。為對付那些言而無信的人，我建議，警方「先小人、後君子」，在「不反對通知書」上列明，警方不會容忍遊行期間的一切不法行為，包括堵塞馬路，一經發現，定必無須再警告便即時拘捕，還那的士司機和其他道路使用者一個公道。</w:t>
                        </w:r>
                      </w:p>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郭文緯</w:t>
                        </w:r>
                        <w:r>
                          <w:rPr>
                            <w:rFonts w:ascii="Arial" w:hAnsi="Arial" w:cs="Arial"/>
                            <w:color w:val="3A352A"/>
                            <w:sz w:val="26"/>
                            <w:szCs w:val="26"/>
                            <w:lang w:eastAsia="zh-TW"/>
                          </w:rPr>
                          <w:t xml:space="preserve"> </w:t>
                        </w:r>
                        <w:r>
                          <w:rPr>
                            <w:rFonts w:ascii="Arial" w:hAnsi="Arial" w:cs="Arial" w:hint="eastAsia"/>
                            <w:color w:val="3A352A"/>
                            <w:sz w:val="26"/>
                            <w:szCs w:val="26"/>
                            <w:lang w:eastAsia="zh-TW"/>
                          </w:rPr>
                          <w:t>前副廉政專員</w:t>
                        </w:r>
                        <w:r>
                          <w:rPr>
                            <w:rFonts w:ascii="Arial" w:hAnsi="Arial" w:cs="Arial"/>
                            <w:color w:val="3A352A"/>
                            <w:sz w:val="26"/>
                            <w:szCs w:val="26"/>
                            <w:lang w:eastAsia="zh-TW"/>
                          </w:rPr>
                          <w:t>/</w:t>
                        </w:r>
                        <w:r>
                          <w:rPr>
                            <w:rFonts w:ascii="Arial" w:hAnsi="Arial" w:cs="Arial" w:hint="eastAsia"/>
                            <w:color w:val="3A352A"/>
                            <w:sz w:val="26"/>
                            <w:szCs w:val="26"/>
                            <w:lang w:eastAsia="zh-TW"/>
                          </w:rPr>
                          <w:t>香港大學專業進修學院客席教授</w:t>
                        </w:r>
                      </w:p>
                    </w:tc>
                  </w:tr>
                  <w:tr w:rsidR="004D3E47">
                    <w:tc>
                      <w:tcPr>
                        <w:tcW w:w="8310" w:type="dxa"/>
                        <w:tcMar>
                          <w:top w:w="0" w:type="dxa"/>
                          <w:left w:w="0" w:type="dxa"/>
                          <w:bottom w:w="0" w:type="dxa"/>
                          <w:right w:w="0" w:type="dxa"/>
                        </w:tcMar>
                        <w:vAlign w:val="center"/>
                        <w:hideMark/>
                      </w:tcPr>
                      <w:tbl>
                        <w:tblPr>
                          <w:tblW w:w="8310" w:type="dxa"/>
                          <w:jc w:val="center"/>
                          <w:tblLook w:val="04A0"/>
                        </w:tblPr>
                        <w:tblGrid>
                          <w:gridCol w:w="4050"/>
                          <w:gridCol w:w="210"/>
                          <w:gridCol w:w="4050"/>
                        </w:tblGrid>
                        <w:tr w:rsidR="004D3E47">
                          <w:trPr>
                            <w:jc w:val="center"/>
                          </w:trPr>
                          <w:tc>
                            <w:tcPr>
                              <w:tcW w:w="0" w:type="auto"/>
                              <w:tcMar>
                                <w:top w:w="0" w:type="dxa"/>
                                <w:left w:w="0" w:type="dxa"/>
                                <w:bottom w:w="0" w:type="dxa"/>
                                <w:right w:w="0" w:type="dxa"/>
                              </w:tcMar>
                              <w:hideMark/>
                            </w:tcPr>
                            <w:p w:rsidR="004D3E47" w:rsidRDefault="004D3E47">
                              <w:pPr>
                                <w:jc w:val="center"/>
                                <w:rPr>
                                  <w:rFonts w:eastAsia="Times New Roman"/>
                                </w:rPr>
                              </w:pPr>
                              <w:r>
                                <w:rPr>
                                  <w:rFonts w:eastAsia="Times New Roman"/>
                                  <w:noProof/>
                                  <w:color w:val="597BB7"/>
                                </w:rPr>
                                <w:lastRenderedPageBreak/>
                                <w:drawing>
                                  <wp:inline distT="0" distB="0" distL="0" distR="0">
                                    <wp:extent cx="2545080" cy="548640"/>
                                    <wp:effectExtent l="19050" t="0" r="7620" b="0"/>
                                    <wp:docPr id="2" name="Picture 2" descr="Facebook_Pag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Page"/>
                                            <pic:cNvPicPr>
                                              <a:picLocks noChangeAspect="1" noChangeArrowheads="1"/>
                                            </pic:cNvPicPr>
                                          </pic:nvPicPr>
                                          <pic:blipFill>
                                            <a:blip r:embed="rId8" cstate="print"/>
                                            <a:srcRect/>
                                            <a:stretch>
                                              <a:fillRect/>
                                            </a:stretch>
                                          </pic:blipFill>
                                          <pic:spPr bwMode="auto">
                                            <a:xfrm>
                                              <a:off x="0" y="0"/>
                                              <a:ext cx="2545080" cy="548640"/>
                                            </a:xfrm>
                                            <a:prstGeom prst="rect">
                                              <a:avLst/>
                                            </a:prstGeom>
                                            <a:noFill/>
                                            <a:ln w="9525">
                                              <a:noFill/>
                                              <a:miter lim="800000"/>
                                              <a:headEnd/>
                                              <a:tailEnd/>
                                            </a:ln>
                                          </pic:spPr>
                                        </pic:pic>
                                      </a:graphicData>
                                    </a:graphic>
                                  </wp:inline>
                                </w:drawing>
                              </w:r>
                            </w:p>
                          </w:tc>
                          <w:tc>
                            <w:tcPr>
                              <w:tcW w:w="300" w:type="dxa"/>
                              <w:tcMar>
                                <w:top w:w="0" w:type="dxa"/>
                                <w:left w:w="0" w:type="dxa"/>
                                <w:bottom w:w="0" w:type="dxa"/>
                                <w:right w:w="0" w:type="dxa"/>
                              </w:tcMar>
                              <w:vAlign w:val="center"/>
                              <w:hideMark/>
                            </w:tcPr>
                            <w:p w:rsidR="004D3E47" w:rsidRDefault="004D3E47">
                              <w:pPr>
                                <w:rPr>
                                  <w:rFonts w:asciiTheme="minorHAnsi" w:hAnsiTheme="minorHAnsi" w:cstheme="minorBidi"/>
                                  <w:sz w:val="22"/>
                                  <w:szCs w:val="22"/>
                                </w:rPr>
                              </w:pPr>
                            </w:p>
                          </w:tc>
                          <w:tc>
                            <w:tcPr>
                              <w:tcW w:w="0" w:type="auto"/>
                              <w:tcMar>
                                <w:top w:w="0" w:type="dxa"/>
                                <w:left w:w="0" w:type="dxa"/>
                                <w:bottom w:w="0" w:type="dxa"/>
                                <w:right w:w="0" w:type="dxa"/>
                              </w:tcMar>
                              <w:hideMark/>
                            </w:tcPr>
                            <w:p w:rsidR="004D3E47" w:rsidRDefault="004D3E47">
                              <w:pPr>
                                <w:jc w:val="center"/>
                                <w:rPr>
                                  <w:rFonts w:eastAsia="Times New Roman"/>
                                </w:rPr>
                              </w:pPr>
                              <w:r>
                                <w:rPr>
                                  <w:rFonts w:eastAsia="Times New Roman"/>
                                  <w:noProof/>
                                  <w:color w:val="597BB7"/>
                                </w:rPr>
                                <w:drawing>
                                  <wp:inline distT="0" distB="0" distL="0" distR="0">
                                    <wp:extent cx="2545080" cy="548640"/>
                                    <wp:effectExtent l="19050" t="0" r="7620" b="0"/>
                                    <wp:docPr id="3" name="Picture 3" descr="Yahoo_Blo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_Blog"/>
                                            <pic:cNvPicPr>
                                              <a:picLocks noChangeAspect="1" noChangeArrowheads="1"/>
                                            </pic:cNvPicPr>
                                          </pic:nvPicPr>
                                          <pic:blipFill>
                                            <a:blip r:embed="rId10" cstate="print"/>
                                            <a:srcRect/>
                                            <a:stretch>
                                              <a:fillRect/>
                                            </a:stretch>
                                          </pic:blipFill>
                                          <pic:spPr bwMode="auto">
                                            <a:xfrm>
                                              <a:off x="0" y="0"/>
                                              <a:ext cx="2545080" cy="548640"/>
                                            </a:xfrm>
                                            <a:prstGeom prst="rect">
                                              <a:avLst/>
                                            </a:prstGeom>
                                            <a:noFill/>
                                            <a:ln w="9525">
                                              <a:noFill/>
                                              <a:miter lim="800000"/>
                                              <a:headEnd/>
                                              <a:tailEnd/>
                                            </a:ln>
                                          </pic:spPr>
                                        </pic:pic>
                                      </a:graphicData>
                                    </a:graphic>
                                  </wp:inline>
                                </w:drawing>
                              </w:r>
                            </w:p>
                          </w:tc>
                        </w:tr>
                      </w:tbl>
                      <w:p w:rsidR="004D3E47" w:rsidRDefault="004D3E47">
                        <w:pPr>
                          <w:jc w:val="center"/>
                          <w:rPr>
                            <w:rFonts w:asciiTheme="minorHAnsi" w:hAnsiTheme="minorHAnsi" w:cstheme="minorBidi"/>
                            <w:sz w:val="22"/>
                            <w:szCs w:val="22"/>
                          </w:rPr>
                        </w:pPr>
                      </w:p>
                    </w:tc>
                  </w:tr>
                </w:tbl>
                <w:p w:rsidR="004D3E47" w:rsidRDefault="004D3E47">
                  <w:pPr>
                    <w:rPr>
                      <w:rFonts w:ascii="Helvetica" w:eastAsia="Times New Roman" w:hAnsi="Helvetica" w:cs="Helvetica"/>
                      <w:vanish/>
                    </w:rPr>
                  </w:pPr>
                </w:p>
                <w:tbl>
                  <w:tblPr>
                    <w:tblW w:w="8310" w:type="dxa"/>
                    <w:tblLook w:val="04A0"/>
                  </w:tblPr>
                  <w:tblGrid>
                    <w:gridCol w:w="8310"/>
                  </w:tblGrid>
                  <w:tr w:rsidR="004D3E47">
                    <w:tc>
                      <w:tcPr>
                        <w:tcW w:w="8310" w:type="dxa"/>
                        <w:tcMar>
                          <w:top w:w="0" w:type="dxa"/>
                          <w:left w:w="0" w:type="dxa"/>
                          <w:bottom w:w="0" w:type="dxa"/>
                          <w:right w:w="0" w:type="dxa"/>
                        </w:tcMar>
                        <w:vAlign w:val="center"/>
                        <w:hideMark/>
                      </w:tcPr>
                      <w:tbl>
                        <w:tblPr>
                          <w:tblpPr w:leftFromText="45" w:rightFromText="45" w:topFromText="100" w:bottomFromText="100" w:vertAnchor="text" w:tblpXSpec="right" w:tblpYSpec="center"/>
                          <w:tblW w:w="2400" w:type="dxa"/>
                          <w:tblLook w:val="04A0"/>
                        </w:tblPr>
                        <w:tblGrid>
                          <w:gridCol w:w="2430"/>
                        </w:tblGrid>
                        <w:tr w:rsidR="004D3E47">
                          <w:tc>
                            <w:tcPr>
                              <w:tcW w:w="0" w:type="auto"/>
                              <w:tcMar>
                                <w:top w:w="0" w:type="dxa"/>
                                <w:left w:w="0" w:type="dxa"/>
                                <w:bottom w:w="0" w:type="dxa"/>
                                <w:right w:w="0" w:type="dxa"/>
                              </w:tcMar>
                              <w:vAlign w:val="center"/>
                              <w:hideMark/>
                            </w:tcPr>
                            <w:p w:rsidR="004D3E47" w:rsidRDefault="004D3E47">
                              <w:pPr>
                                <w:rPr>
                                  <w:rFonts w:eastAsia="Times New Roman"/>
                                </w:rPr>
                              </w:pPr>
                              <w:r>
                                <w:rPr>
                                  <w:rFonts w:eastAsia="Times New Roman"/>
                                  <w:noProof/>
                                </w:rPr>
                                <w:drawing>
                                  <wp:inline distT="0" distB="0" distL="0" distR="0">
                                    <wp:extent cx="1524000" cy="1524000"/>
                                    <wp:effectExtent l="19050" t="0" r="0" b="0"/>
                                    <wp:docPr id="4" name="Picture 4" descr="香港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香港營logo"/>
                                            <pic:cNvPicPr>
                                              <a:picLocks noChangeAspect="1" noChangeArrowheads="1"/>
                                            </pic:cNvPicPr>
                                          </pic:nvPicPr>
                                          <pic:blipFill>
                                            <a:blip r:embed="rId11"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4D3E47" w:rsidRDefault="004D3E47">
                        <w:pPr>
                          <w:spacing w:after="312" w:line="240" w:lineRule="atLeast"/>
                          <w:textAlignment w:val="top"/>
                          <w:rPr>
                            <w:rFonts w:ascii="Arial" w:hAnsi="Arial" w:cs="Arial"/>
                            <w:color w:val="3A352A"/>
                            <w:sz w:val="26"/>
                            <w:szCs w:val="26"/>
                            <w:lang w:eastAsia="zh-TW"/>
                          </w:rPr>
                        </w:pPr>
                        <w:r>
                          <w:rPr>
                            <w:rFonts w:ascii="Arial" w:hAnsi="Arial" w:cs="Arial" w:hint="eastAsia"/>
                            <w:color w:val="3A352A"/>
                            <w:sz w:val="26"/>
                            <w:szCs w:val="26"/>
                            <w:lang w:eastAsia="zh-TW"/>
                          </w:rPr>
                          <w:t>香港營由一群有承擔、愛香港的人士建立，當中包括不少成功專業人士。他們希望以自己的專業知識服務社群，提出正面和建設性的意見，以改善香港的社會民生和環境。</w:t>
                        </w:r>
                      </w:p>
                      <w:p w:rsidR="004D3E47" w:rsidRDefault="004D3E47">
                        <w:pPr>
                          <w:spacing w:after="312" w:line="240" w:lineRule="atLeast"/>
                          <w:textAlignment w:val="top"/>
                          <w:rPr>
                            <w:rFonts w:ascii="Arial" w:hAnsi="Arial" w:cs="Arial"/>
                            <w:color w:val="3A352A"/>
                            <w:sz w:val="26"/>
                            <w:szCs w:val="26"/>
                          </w:rPr>
                        </w:pPr>
                        <w:proofErr w:type="spellStart"/>
                        <w:proofErr w:type="gramStart"/>
                        <w:r>
                          <w:rPr>
                            <w:rFonts w:ascii="Arial" w:hAnsi="Arial" w:cs="Arial"/>
                            <w:color w:val="3A352A"/>
                            <w:sz w:val="26"/>
                            <w:szCs w:val="26"/>
                          </w:rPr>
                          <w:t>campHK</w:t>
                        </w:r>
                        <w:proofErr w:type="spellEnd"/>
                        <w:proofErr w:type="gramEnd"/>
                        <w:r>
                          <w:rPr>
                            <w:rFonts w:ascii="Arial" w:hAnsi="Arial" w:cs="Arial"/>
                            <w:color w:val="3A352A"/>
                            <w:sz w:val="26"/>
                            <w:szCs w:val="26"/>
                          </w:rPr>
                          <w:t xml:space="preserve"> has been set up by a group of committed Hong Kong citizens, including many successful professionals, who are willing to put their expertise to use by offering positive and constructive input to the community as to how best to improve the livelihood of the people and the overall environment of the SAR.</w:t>
                        </w:r>
                      </w:p>
                    </w:tc>
                  </w:tr>
                </w:tbl>
                <w:p w:rsidR="004D3E47" w:rsidRDefault="004D3E47">
                  <w:pPr>
                    <w:rPr>
                      <w:rFonts w:asciiTheme="minorHAnsi" w:hAnsiTheme="minorHAnsi" w:cstheme="minorBidi"/>
                      <w:sz w:val="22"/>
                      <w:szCs w:val="22"/>
                    </w:rPr>
                  </w:pPr>
                </w:p>
              </w:tc>
            </w:tr>
          </w:tbl>
          <w:p w:rsidR="004D3E47" w:rsidRDefault="004D3E47">
            <w:pPr>
              <w:rPr>
                <w:rFonts w:eastAsia="Times New Roman"/>
                <w:vanish/>
              </w:rPr>
            </w:pPr>
          </w:p>
          <w:tbl>
            <w:tblPr>
              <w:tblW w:w="8850" w:type="dxa"/>
              <w:tblCellMar>
                <w:left w:w="0" w:type="dxa"/>
                <w:right w:w="0" w:type="dxa"/>
              </w:tblCellMar>
              <w:tblLook w:val="04A0"/>
            </w:tblPr>
            <w:tblGrid>
              <w:gridCol w:w="8850"/>
            </w:tblGrid>
            <w:tr w:rsidR="004D3E47">
              <w:tc>
                <w:tcPr>
                  <w:tcW w:w="8850" w:type="dxa"/>
                  <w:shd w:val="clear" w:color="auto" w:fill="F18602"/>
                  <w:tcMar>
                    <w:top w:w="150" w:type="dxa"/>
                    <w:left w:w="150" w:type="dxa"/>
                    <w:bottom w:w="150" w:type="dxa"/>
                    <w:right w:w="150" w:type="dxa"/>
                  </w:tcMar>
                  <w:vAlign w:val="center"/>
                  <w:hideMark/>
                </w:tcPr>
                <w:p w:rsidR="004D3E47" w:rsidRDefault="004D3E47">
                  <w:pPr>
                    <w:rPr>
                      <w:rFonts w:ascii="Arial" w:eastAsia="Times New Roman" w:hAnsi="Arial" w:cs="Arial"/>
                      <w:color w:val="FFFFFF"/>
                      <w:sz w:val="18"/>
                      <w:szCs w:val="18"/>
                    </w:rPr>
                  </w:pPr>
                  <w:r>
                    <w:rPr>
                      <w:rFonts w:ascii="Arial" w:eastAsia="Times New Roman" w:hAnsi="Arial" w:cs="Arial"/>
                      <w:color w:val="FFFFFF"/>
                      <w:sz w:val="18"/>
                      <w:szCs w:val="18"/>
                    </w:rPr>
                    <w:t xml:space="preserve">©2013 </w:t>
                  </w:r>
                  <w:r>
                    <w:rPr>
                      <w:rFonts w:ascii="MingLiU" w:eastAsia="MingLiU" w:hAnsi="MingLiU" w:cs="MingLiU" w:hint="eastAsia"/>
                      <w:color w:val="FFFFFF"/>
                      <w:sz w:val="18"/>
                      <w:szCs w:val="18"/>
                    </w:rPr>
                    <w:t>香港營</w:t>
                  </w:r>
                  <w:r>
                    <w:rPr>
                      <w:rFonts w:ascii="Arial" w:eastAsia="Times New Roman" w:hAnsi="Arial" w:cs="Arial"/>
                      <w:color w:val="FFFFFF"/>
                      <w:sz w:val="18"/>
                      <w:szCs w:val="18"/>
                    </w:rPr>
                    <w:t xml:space="preserve"> </w:t>
                  </w:r>
                  <w:proofErr w:type="spellStart"/>
                  <w:r>
                    <w:rPr>
                      <w:rFonts w:ascii="Arial" w:eastAsia="Times New Roman" w:hAnsi="Arial" w:cs="Arial"/>
                      <w:color w:val="FFFFFF"/>
                      <w:sz w:val="18"/>
                      <w:szCs w:val="18"/>
                    </w:rPr>
                    <w:t>campHK</w:t>
                  </w:r>
                  <w:proofErr w:type="spellEnd"/>
                  <w:r>
                    <w:rPr>
                      <w:rFonts w:ascii="Arial" w:eastAsia="Times New Roman" w:hAnsi="Arial" w:cs="Arial"/>
                      <w:color w:val="FFFFFF"/>
                      <w:sz w:val="18"/>
                      <w:szCs w:val="18"/>
                    </w:rPr>
                    <w:t xml:space="preserve"> | </w:t>
                  </w:r>
                  <w:r>
                    <w:rPr>
                      <w:rFonts w:ascii="MingLiU" w:eastAsia="MingLiU" w:hAnsi="MingLiU" w:cs="MingLiU" w:hint="eastAsia"/>
                      <w:color w:val="FFFFFF"/>
                      <w:sz w:val="18"/>
                      <w:szCs w:val="18"/>
                    </w:rPr>
                    <w:t>香港營</w:t>
                  </w:r>
                  <w:r>
                    <w:rPr>
                      <w:rFonts w:ascii="Arial" w:eastAsia="Times New Roman" w:hAnsi="Arial" w:cs="Arial"/>
                      <w:color w:val="FFFFFF"/>
                      <w:sz w:val="18"/>
                      <w:szCs w:val="18"/>
                    </w:rPr>
                    <w:t xml:space="preserve"> </w:t>
                  </w:r>
                </w:p>
              </w:tc>
            </w:tr>
          </w:tbl>
          <w:p w:rsidR="004D3E47" w:rsidRDefault="004D3E47">
            <w:pPr>
              <w:rPr>
                <w:rFonts w:asciiTheme="minorHAnsi" w:hAnsiTheme="minorHAnsi" w:cstheme="minorBidi"/>
                <w:sz w:val="22"/>
                <w:szCs w:val="22"/>
              </w:rPr>
            </w:pPr>
          </w:p>
        </w:tc>
      </w:tr>
    </w:tbl>
    <w:p w:rsidR="00393278" w:rsidRDefault="00393278"/>
    <w:sectPr w:rsidR="00393278" w:rsidSect="003932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D3E47"/>
    <w:rsid w:val="00326D0C"/>
    <w:rsid w:val="00393278"/>
    <w:rsid w:val="004D3E47"/>
    <w:rsid w:val="00D9209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E47"/>
    <w:rPr>
      <w:color w:val="0000FF" w:themeColor="hyperlink"/>
      <w:u w:val="single"/>
    </w:rPr>
  </w:style>
  <w:style w:type="character" w:customStyle="1" w:styleId="forward-to">
    <w:name w:val="forward-to"/>
    <w:basedOn w:val="DefaultParagraphFont"/>
    <w:rsid w:val="004D3E47"/>
  </w:style>
</w:styles>
</file>

<file path=word/webSettings.xml><?xml version="1.0" encoding="utf-8"?>
<w:webSettings xmlns:r="http://schemas.openxmlformats.org/officeDocument/2006/relationships" xmlns:w="http://schemas.openxmlformats.org/wordprocessingml/2006/main">
  <w:divs>
    <w:div w:id="12101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madmimi.com/redirects/1357828711-b58d536e70d4733b0ccd1a675c0d6a28-5ce49d6?pa=3246005641465343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go.madmimi.com/redirects/1357828711-1437eedb6a47971d2cdb22f6f509b2c8-5ce49d6?pa=324600564146534301" TargetMode="External"/><Relationship Id="rId10" Type="http://schemas.openxmlformats.org/officeDocument/2006/relationships/image" Target="media/image3.png"/><Relationship Id="rId4" Type="http://schemas.openxmlformats.org/officeDocument/2006/relationships/hyperlink" Target="https://go.madmimi.com/forward/324600564146534301?amx=3229083597" TargetMode="External"/><Relationship Id="rId9" Type="http://schemas.openxmlformats.org/officeDocument/2006/relationships/hyperlink" Target="https://go.madmimi.com/redirects/1357828711-f4ae4df47dbccb7976c2a4cce32eb371-5ce49d6?pa=324600564146534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Kwok</dc:creator>
  <cp:keywords/>
  <dc:description/>
  <cp:lastModifiedBy>Tony Kwok</cp:lastModifiedBy>
  <cp:revision>2</cp:revision>
  <dcterms:created xsi:type="dcterms:W3CDTF">2013-01-12T07:13:00Z</dcterms:created>
  <dcterms:modified xsi:type="dcterms:W3CDTF">2013-01-12T07:13:00Z</dcterms:modified>
</cp:coreProperties>
</file>